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МИНИСТЕРСТВО ФИНАНСОВ РОССИЙСКОЙ ФЕДЕРАЦИИ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ПИСЬМО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от 5 июля 2019 г. N 01-02-04/03-49678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 ПРИМЕНЕНИИ КОНТРОЛЬНО-КАССОВОЙ ТЕХНИКИ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Минфин России, рассмотрев обращение по вопросу о применении контрольно-кассовой техники товариществами собственников жилья, поступившее указанным письмом, сообщает.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 соответствии с пунктом 13 статьи 2 Федерального закона N 54-ФЗ "О применении контрольно-кассовой техники при осуществлении расчетов в Российской Федерации" (далее - Федеральный закон N 54-ФЗ) контрольно-кассовая техника может не применяться при осуществлении расчетов товариществами собственников недвижимости (в том числе товариществами собственников жилья, садоводческими и огородническими некоммерческими товариществами), жилищными, жилищно-строительными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кооперативов, а также при приеме платы за жилое помещение и коммунальные услуги.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положения пункта 13 статьи 2 Федерального закона N 54-ФЗ не распространяются на расчеты наличными деньгами, а также расчеты с предъявлением электронного средства платежа при условии непосредственного взаимодействия покупателя (клиента) с пользователем контрольно-кассовой техники.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учетом изложенного, контрольно-кассовая техника может не применяться при осуществлении расчетов (за исключением расчетов наличными деньгами, а также расчетов с предъявлением электронного средства платежа при условии непосредственного взаимодействия покупателя (клиента) с пользователем контрольно-кассовой техники) указанными товариществами и кооперативами при приеме платы за жилое помещение и коммунальные услуги как от своих членов, так и при приеме платы за жилое помещение и коммунальные услуги от собственников помещений, не являющихся членами таких товариществ либо кооперативов.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Таким образом, контрольно-кассовая техника не применяется при осуществлении указанных расчетов платежной картой в сети "Интернет", платежными поручениями, а также с использованием мобильных приложений.</w:t>
      </w:r>
    </w:p>
    <w:p w:rsidR="005B73E5" w:rsidRDefault="005B73E5" w:rsidP="005B73E5">
      <w:pPr>
        <w:pStyle w:val="a3"/>
        <w:shd w:val="clear" w:color="auto" w:fill="FFFFFF"/>
        <w:spacing w:before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Согласно положениям статьи 1.1 Федерального закона N 54-ФЗ под расчетами понимаются прием (получение) и выплата денежных средств наличными деньгами и (или) в безналичном порядке за товары, работы, услуги, прием ставок, интерактивных ставок и выплата денежных средств в виде выигрыша при осуществлении деятельности по организации и проведению азартных игр, а также прием денежных средств при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организации и проведению лотерей. Под расчетами понимаются также прием (получение) и выплата денежных средств в виде предварительной оплаты и (или) авансов, зачет и возврат предварительной оплаты и (или) авансов, предоставление и погашение займов для оплаты товаров, работ, услуг (включая осуществление ломбардами кредитования граждан под 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"https://www.audit-it.ru/terms/agreements/zalog.html" \o "залог (определение, описание, подробности)"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5"/>
          <w:rFonts w:ascii="Arial" w:hAnsi="Arial" w:cs="Arial"/>
          <w:u w:val="none"/>
          <w:bdr w:val="none" w:sz="0" w:space="0" w:color="auto" w:frame="1"/>
        </w:rPr>
        <w:t>залог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принадлежащих</w:t>
      </w:r>
      <w:proofErr w:type="spellEnd"/>
      <w:r>
        <w:rPr>
          <w:rFonts w:ascii="Arial" w:hAnsi="Arial" w:cs="Arial"/>
          <w:color w:val="000000"/>
        </w:rPr>
        <w:t xml:space="preserve"> гражданам вещей и деятельности по хранению вещей) либо предоставление или получение иного встречного предоставления за товары, работы, услуги.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образом, ежемесячные взносы на капитальный ремонт общего имущества в многоквартирном доме не относятся к расчетам для целей Федерального закона N 54-ФЗ и не требуют применения контрольно-кассовой техники.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И.о</w:t>
      </w:r>
      <w:proofErr w:type="spellEnd"/>
      <w:r>
        <w:rPr>
          <w:rFonts w:ascii="Arial" w:hAnsi="Arial" w:cs="Arial"/>
          <w:color w:val="000000"/>
        </w:rPr>
        <w:t>. Министра</w:t>
      </w:r>
    </w:p>
    <w:p w:rsidR="005B73E5" w:rsidRDefault="005B73E5" w:rsidP="005B73E5">
      <w:pPr>
        <w:pStyle w:val="a3"/>
        <w:shd w:val="clear" w:color="auto" w:fill="FFFFFF"/>
        <w:spacing w:after="300" w:afterAutospacing="0" w:line="36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И.В.ТРУНИН</w:t>
      </w:r>
    </w:p>
    <w:p w:rsidR="00D3587D" w:rsidRDefault="005B73E5">
      <w:bookmarkStart w:id="0" w:name="_GoBack"/>
      <w:bookmarkEnd w:id="0"/>
    </w:p>
    <w:sectPr w:rsidR="00D3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5"/>
    <w:rsid w:val="005B73E5"/>
    <w:rsid w:val="00D4416F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4F965-DBDF-424C-A2E6-6739E7A1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3E5"/>
    <w:rPr>
      <w:b/>
      <w:bCs/>
    </w:rPr>
  </w:style>
  <w:style w:type="character" w:styleId="a5">
    <w:name w:val="Hyperlink"/>
    <w:basedOn w:val="a0"/>
    <w:uiPriority w:val="99"/>
    <w:semiHidden/>
    <w:unhideWhenUsed/>
    <w:rsid w:val="005B7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Кучеренко</dc:creator>
  <cp:keywords/>
  <dc:description/>
  <cp:lastModifiedBy>Степан Кучеренко</cp:lastModifiedBy>
  <cp:revision>1</cp:revision>
  <dcterms:created xsi:type="dcterms:W3CDTF">2019-08-21T09:11:00Z</dcterms:created>
  <dcterms:modified xsi:type="dcterms:W3CDTF">2019-08-21T09:12:00Z</dcterms:modified>
</cp:coreProperties>
</file>